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5C" w:rsidRPr="007A5D5C" w:rsidRDefault="007A5D5C" w:rsidP="007A5D5C">
      <w:pPr>
        <w:pStyle w:val="head"/>
        <w:jc w:val="center"/>
        <w:rPr>
          <w:rStyle w:val="Strong"/>
          <w:rFonts w:ascii="Arial" w:hAnsi="Arial" w:cs="Arial"/>
          <w:bCs w:val="0"/>
          <w:color w:val="212529"/>
          <w:sz w:val="21"/>
          <w:szCs w:val="21"/>
          <w:shd w:val="clear" w:color="auto" w:fill="FFFFFF"/>
        </w:rPr>
      </w:pPr>
      <w:r w:rsidRPr="007A5D5C">
        <w:rPr>
          <w:rStyle w:val="Strong"/>
          <w:rFonts w:ascii="Arial" w:hAnsi="Arial" w:cs="Arial"/>
          <w:bCs w:val="0"/>
          <w:color w:val="212529"/>
          <w:sz w:val="21"/>
          <w:szCs w:val="21"/>
          <w:shd w:val="clear" w:color="auto" w:fill="FFFFFF"/>
        </w:rPr>
        <w:t>CERTIFICATE EXAMINATION IN ANTI MONEY LAUNDERING AND KNOW YOUR CUSTOMER</w:t>
      </w:r>
    </w:p>
    <w:p w:rsidR="007A5D5C" w:rsidRPr="007A5D5C" w:rsidRDefault="007A5D5C" w:rsidP="007A5D5C">
      <w:pPr>
        <w:pStyle w:val="head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Amendment to the Master Direction (MD) on KYC</w:t>
      </w:r>
    </w:p>
    <w:p w:rsidR="007A5D5C" w:rsidRDefault="007A5D5C" w:rsidP="007A5D5C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RBI/2023-24/107</w:t>
      </w:r>
      <w:r>
        <w:rPr>
          <w:rFonts w:ascii="Arial" w:hAnsi="Arial" w:cs="Arial"/>
          <w:color w:val="000000"/>
          <w:sz w:val="20"/>
          <w:szCs w:val="20"/>
        </w:rPr>
        <w:br/>
        <w:t>DOR.AML.REC.66/14.01.001/2023-24</w:t>
      </w:r>
    </w:p>
    <w:p w:rsidR="007A5D5C" w:rsidRDefault="007A5D5C" w:rsidP="007A5D5C">
      <w:pPr>
        <w:pStyle w:val="NormalWeb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January 04, 2024</w:t>
      </w:r>
    </w:p>
    <w:p w:rsidR="007A5D5C" w:rsidRDefault="007A5D5C" w:rsidP="007A5D5C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Chairpersons/ CEOs of all the Regulated Entities</w:t>
      </w:r>
    </w:p>
    <w:p w:rsidR="007A5D5C" w:rsidRDefault="007A5D5C" w:rsidP="007A5D5C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Dear Sir/Madam,</w:t>
      </w:r>
    </w:p>
    <w:p w:rsidR="007A5D5C" w:rsidRDefault="007A5D5C" w:rsidP="007A5D5C">
      <w:pPr>
        <w:pStyle w:val="head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Amendment to the Master Direction (MD) on KYC</w:t>
      </w:r>
    </w:p>
    <w:p w:rsidR="007A5D5C" w:rsidRDefault="007A5D5C" w:rsidP="007A5D5C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Please refer to the </w:t>
      </w:r>
      <w:hyperlink r:id="rId4" w:tgtFrame="_blank" w:history="1">
        <w:r>
          <w:rPr>
            <w:rStyle w:val="Hyperlink"/>
            <w:rFonts w:ascii="Arial" w:hAnsi="Arial" w:cs="Arial"/>
            <w:sz w:val="20"/>
            <w:szCs w:val="20"/>
          </w:rPr>
          <w:t>Master Direction (MD) on KYC dated February 25, 2016</w:t>
        </w:r>
      </w:hyperlink>
      <w:r>
        <w:rPr>
          <w:rFonts w:ascii="Arial" w:hAnsi="Arial" w:cs="Arial"/>
          <w:color w:val="000000"/>
          <w:sz w:val="20"/>
          <w:szCs w:val="20"/>
        </w:rPr>
        <w:t>, as amended from time to time, in terms of which Regulated Entities (REs) have to undertake Customer Due Diligence (CDD), as per the process laid out therein, for their customers.</w:t>
      </w:r>
    </w:p>
    <w:p w:rsidR="007A5D5C" w:rsidRDefault="007A5D5C" w:rsidP="007A5D5C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In the extant Direction, the definition of Politically Exposed Persons (PEPs)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is provided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in sub-clause (xvii) of clause (a) of Section 3 of the MD on KYC. However, in order to provide better clarity, it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has been decided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to include the definition of PEPs as an explanation to Section 41 of the Master Direction as under:</w:t>
      </w:r>
    </w:p>
    <w:p w:rsidR="007A5D5C" w:rsidRDefault="007A5D5C" w:rsidP="007A5D5C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“Explanation: For the purpose of this Section, “Politically Exposed Persons” (PEPs) are individuals who are or have been entrusted with prominent public functions </w:t>
      </w:r>
      <w:r>
        <w:rPr>
          <w:rStyle w:val="head1"/>
          <w:rFonts w:ascii="Arial" w:hAnsi="Arial" w:cs="Arial"/>
          <w:b/>
          <w:bCs/>
          <w:color w:val="000000"/>
          <w:sz w:val="20"/>
          <w:szCs w:val="20"/>
        </w:rPr>
        <w:t>by a foreign country</w:t>
      </w:r>
      <w:r>
        <w:rPr>
          <w:rFonts w:ascii="Arial" w:hAnsi="Arial" w:cs="Arial"/>
          <w:color w:val="000000"/>
          <w:sz w:val="20"/>
          <w:szCs w:val="20"/>
        </w:rPr>
        <w:t>, including the Heads of States/Governments, senior politicians, senior government or judicial or military officers, senior executives of state-owned corporations and important political party officials.”</w:t>
      </w:r>
    </w:p>
    <w:p w:rsidR="007A5D5C" w:rsidRDefault="007A5D5C" w:rsidP="007A5D5C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Consequently, the sub-clause (xvii) of clause (a) of Section 3 of the above quoted Master Direction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has been removed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The relevant Sections of the </w:t>
      </w:r>
      <w:hyperlink r:id="rId5" w:tgtFrame="_blank" w:history="1">
        <w:r>
          <w:rPr>
            <w:rStyle w:val="Hyperlink"/>
            <w:rFonts w:ascii="Arial" w:hAnsi="Arial" w:cs="Arial"/>
            <w:sz w:val="20"/>
            <w:szCs w:val="20"/>
          </w:rPr>
          <w:t>MD on KYC</w:t>
        </w:r>
      </w:hyperlink>
      <w:r>
        <w:rPr>
          <w:rFonts w:ascii="Arial" w:hAnsi="Arial" w:cs="Arial"/>
          <w:color w:val="000000"/>
          <w:sz w:val="20"/>
          <w:szCs w:val="20"/>
        </w:rPr>
        <w:t> 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are hereby amended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to reflect the changes as mentioned above.</w:t>
      </w:r>
    </w:p>
    <w:p w:rsidR="007A5D5C" w:rsidRDefault="007A5D5C" w:rsidP="007A5D5C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Yours faithfully,</w:t>
      </w:r>
    </w:p>
    <w:p w:rsidR="00792F87" w:rsidRDefault="007A5D5C" w:rsidP="007A5D5C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Saidutta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Sangram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Keshari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Pradhan)</w:t>
      </w:r>
      <w:r>
        <w:rPr>
          <w:rFonts w:ascii="Arial" w:hAnsi="Arial" w:cs="Arial"/>
          <w:color w:val="000000"/>
          <w:sz w:val="20"/>
          <w:szCs w:val="20"/>
        </w:rPr>
        <w:br/>
        <w:t>General Manager</w:t>
      </w:r>
    </w:p>
    <w:p w:rsidR="00F32AEA" w:rsidRDefault="00792F87">
      <w:r w:rsidRPr="00792F87">
        <w:t>For more details, kindly refer:</w:t>
      </w:r>
    </w:p>
    <w:p w:rsidR="00792F87" w:rsidRDefault="00792F87">
      <w:hyperlink r:id="rId6" w:history="1">
        <w:r w:rsidRPr="001310BF">
          <w:rPr>
            <w:rStyle w:val="Hyperlink"/>
          </w:rPr>
          <w:t>https://www.rbi.org.in/Scripts/NotificationUser.aspx?Id=12593&amp;Mode=0</w:t>
        </w:r>
      </w:hyperlink>
      <w:r>
        <w:t xml:space="preserve"> </w:t>
      </w:r>
      <w:bookmarkStart w:id="0" w:name="_GoBack"/>
      <w:bookmarkEnd w:id="0"/>
    </w:p>
    <w:sectPr w:rsidR="00792F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18"/>
    <w:rsid w:val="00792F87"/>
    <w:rsid w:val="007A5D5C"/>
    <w:rsid w:val="008176BF"/>
    <w:rsid w:val="00825000"/>
    <w:rsid w:val="00D1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C86C5"/>
  <w15:chartTrackingRefBased/>
  <w15:docId w15:val="{7AC5A014-59EF-4F6D-899B-E7D27FF4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head">
    <w:name w:val="head"/>
    <w:basedOn w:val="Normal"/>
    <w:rsid w:val="007A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7A5D5C"/>
    <w:rPr>
      <w:color w:val="0000FF"/>
      <w:u w:val="single"/>
    </w:rPr>
  </w:style>
  <w:style w:type="character" w:customStyle="1" w:styleId="head1">
    <w:name w:val="head1"/>
    <w:basedOn w:val="DefaultParagraphFont"/>
    <w:rsid w:val="007A5D5C"/>
  </w:style>
  <w:style w:type="character" w:styleId="Strong">
    <w:name w:val="Strong"/>
    <w:basedOn w:val="DefaultParagraphFont"/>
    <w:uiPriority w:val="22"/>
    <w:qFormat/>
    <w:rsid w:val="007A5D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bi.org.in/Scripts/NotificationUser.aspx?Id=12593&amp;Mode=0" TargetMode="External"/><Relationship Id="rId5" Type="http://schemas.openxmlformats.org/officeDocument/2006/relationships/hyperlink" Target="https://www.rbi.org.in/Scripts/BS_ViewMasDirections.aspx?id=11566" TargetMode="External"/><Relationship Id="rId4" Type="http://schemas.openxmlformats.org/officeDocument/2006/relationships/hyperlink" Target="https://www.rbi.org.in/Scripts/BS_ViewMasDirections.aspx?id=115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Yuvanedhi Kumarasamy</dc:creator>
  <cp:keywords/>
  <dc:description/>
  <cp:lastModifiedBy>Yuvanedhi Kumarasamy</cp:lastModifiedBy>
  <cp:revision>3</cp:revision>
  <dcterms:created xsi:type="dcterms:W3CDTF">2024-08-23T06:46:00Z</dcterms:created>
  <dcterms:modified xsi:type="dcterms:W3CDTF">2024-08-23T06:48:00Z</dcterms:modified>
</cp:coreProperties>
</file>